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C9" w:rsidRPr="00FB24C9" w:rsidRDefault="00FB24C9" w:rsidP="00FB24C9">
      <w:pPr>
        <w:spacing w:line="360" w:lineRule="auto"/>
        <w:jc w:val="both"/>
        <w:rPr>
          <w:rFonts w:ascii="Calibri" w:hAnsi="Calibri" w:cs="Arial"/>
          <w:sz w:val="22"/>
          <w:szCs w:val="19"/>
        </w:rPr>
      </w:pPr>
      <w:r w:rsidRPr="00FB24C9">
        <w:rPr>
          <w:rFonts w:ascii="Calibri" w:hAnsi="Calibri" w:cs="Arial"/>
          <w:sz w:val="22"/>
          <w:szCs w:val="19"/>
        </w:rPr>
        <w:t>Mazowieckie Centrum Sportów Zimowych - rozbudowa istniejącego zbiornika retencyjnego bocznego wraz z budową górki zjazdowej w obszarze funkcjonalnym miasta Chorzele.</w:t>
      </w:r>
    </w:p>
    <w:p w:rsidR="00FB24C9" w:rsidRDefault="00FB24C9" w:rsidP="00FB24C9">
      <w:pPr>
        <w:spacing w:line="360" w:lineRule="auto"/>
        <w:rPr>
          <w:rFonts w:ascii="Calibri" w:hAnsi="Calibri" w:cs="Calibri"/>
          <w:b/>
          <w:sz w:val="22"/>
          <w:szCs w:val="22"/>
        </w:rPr>
      </w:pPr>
    </w:p>
    <w:p w:rsidR="00FB24C9" w:rsidRDefault="00FB24C9" w:rsidP="00FB24C9">
      <w:pPr>
        <w:spacing w:line="360" w:lineRule="auto"/>
        <w:jc w:val="both"/>
        <w:rPr>
          <w:rFonts w:ascii="Calibri" w:hAnsi="Calibri" w:cs="Calibri"/>
          <w:b/>
          <w:sz w:val="22"/>
          <w:szCs w:val="22"/>
        </w:rPr>
      </w:pPr>
      <w:r>
        <w:rPr>
          <w:rFonts w:ascii="Calibri" w:hAnsi="Calibri" w:cs="Calibri"/>
          <w:b/>
          <w:sz w:val="22"/>
          <w:szCs w:val="22"/>
        </w:rPr>
        <w:t xml:space="preserve">Wykaz posiadanych przez powiat przasnyski decyzji, </w:t>
      </w:r>
      <w:r w:rsidR="002866D9">
        <w:rPr>
          <w:rFonts w:ascii="Calibri" w:hAnsi="Calibri" w:cs="Calibri"/>
          <w:b/>
          <w:sz w:val="22"/>
          <w:szCs w:val="22"/>
        </w:rPr>
        <w:t>dokumentacji</w:t>
      </w:r>
      <w:r>
        <w:rPr>
          <w:rFonts w:ascii="Calibri" w:hAnsi="Calibri" w:cs="Calibri"/>
          <w:b/>
          <w:sz w:val="22"/>
          <w:szCs w:val="22"/>
        </w:rPr>
        <w:t xml:space="preserve"> (w załączeniu):</w:t>
      </w:r>
    </w:p>
    <w:p w:rsidR="002D7AAB" w:rsidRDefault="002D7AAB" w:rsidP="00FB24C9">
      <w:pPr>
        <w:spacing w:line="360" w:lineRule="auto"/>
        <w:jc w:val="both"/>
        <w:rPr>
          <w:rFonts w:ascii="Calibri" w:hAnsi="Calibri" w:cs="Calibri"/>
          <w:b/>
          <w:sz w:val="22"/>
          <w:szCs w:val="22"/>
        </w:rPr>
      </w:pPr>
    </w:p>
    <w:p w:rsidR="002D7AAB"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1. Decyzja nr 185/O/2017 z dnia 22.12.2017 r. znak: WI-O.7840.3.50.2017.BT – zatwierdzenie projektu budowlanego i udzielenie pozwolenia na budowę „Rozbudowa budowli hydrotechnicznej – zbiornika retencyjnego bocznego” wraz z projektem budowlanym.</w:t>
      </w:r>
    </w:p>
    <w:p w:rsidR="00FB24C9"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 xml:space="preserve">2. </w:t>
      </w:r>
      <w:r w:rsidR="00FB24C9" w:rsidRPr="00F07A53">
        <w:rPr>
          <w:rFonts w:ascii="Tahoma" w:hAnsi="Tahoma" w:cs="Tahoma"/>
          <w:sz w:val="22"/>
          <w:szCs w:val="22"/>
        </w:rPr>
        <w:t>Decyzja z dnia 24.07.2017 r. znak: ROŚ.6341.51.2017 - Pozwolenie wodnoprawne na wykonanie urządze</w:t>
      </w:r>
      <w:r w:rsidR="002D7AAB" w:rsidRPr="00F07A53">
        <w:rPr>
          <w:rFonts w:ascii="Tahoma" w:hAnsi="Tahoma" w:cs="Tahoma"/>
          <w:sz w:val="22"/>
          <w:szCs w:val="22"/>
        </w:rPr>
        <w:t>ń wodnych.</w:t>
      </w:r>
    </w:p>
    <w:p w:rsidR="00FB24C9"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E.3.</w:t>
      </w:r>
      <w:r w:rsidR="002D7AAB" w:rsidRPr="00F07A53">
        <w:rPr>
          <w:rFonts w:ascii="Tahoma" w:hAnsi="Tahoma" w:cs="Tahoma"/>
          <w:sz w:val="22"/>
          <w:szCs w:val="22"/>
        </w:rPr>
        <w:t xml:space="preserve"> </w:t>
      </w:r>
      <w:r w:rsidR="00FB24C9" w:rsidRPr="00F07A53">
        <w:rPr>
          <w:rFonts w:ascii="Tahoma" w:hAnsi="Tahoma" w:cs="Tahoma"/>
          <w:sz w:val="22"/>
          <w:szCs w:val="22"/>
        </w:rPr>
        <w:t>Decyzja z dnia 15.11.2017 r. znak: ROŚ.6341.89.2017 – Pozwolenie wodnoprawne na wykonanie likwidacji rowu melioracyjnego na obszarze szczególnego zagrożenia powodzią (ok. 438 m) oraz likwidację rowu poza terenem szczególnego zagrożenia powodzią (ok. 277 m) na terenie projektowanego zbiornika wodnego, wraz z operatem wodnoprawnym.</w:t>
      </w:r>
    </w:p>
    <w:p w:rsidR="002A0107"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 xml:space="preserve">4. </w:t>
      </w:r>
      <w:r w:rsidR="00FB24C9" w:rsidRPr="00F07A53">
        <w:rPr>
          <w:rFonts w:ascii="Tahoma" w:hAnsi="Tahoma" w:cs="Tahoma"/>
          <w:sz w:val="22"/>
          <w:szCs w:val="22"/>
        </w:rPr>
        <w:t xml:space="preserve">Decyzja z dnia 27.12.2017 r. znak: ROŚ.6341.106.2017 - Pozwolenie wodnoprawne na: </w:t>
      </w:r>
    </w:p>
    <w:p w:rsidR="002A0107"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 xml:space="preserve">5. </w:t>
      </w:r>
      <w:r w:rsidR="002A0107" w:rsidRPr="00F07A53">
        <w:rPr>
          <w:rFonts w:ascii="Tahoma" w:hAnsi="Tahoma" w:cs="Tahoma"/>
          <w:sz w:val="22"/>
          <w:szCs w:val="22"/>
        </w:rPr>
        <w:t>Wycinek z projektu budowlanego – opis techniczny</w:t>
      </w:r>
    </w:p>
    <w:p w:rsidR="002A0107"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5.</w:t>
      </w:r>
      <w:r w:rsidR="002A0107" w:rsidRPr="00F07A53">
        <w:rPr>
          <w:rFonts w:ascii="Tahoma" w:hAnsi="Tahoma" w:cs="Tahoma"/>
          <w:sz w:val="22"/>
          <w:szCs w:val="22"/>
        </w:rPr>
        <w:t>1. Rys. nr 3 - Plan sytuacyjny,</w:t>
      </w:r>
    </w:p>
    <w:p w:rsidR="002A0107"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5.2</w:t>
      </w:r>
      <w:r w:rsidR="002A0107" w:rsidRPr="00F07A53">
        <w:rPr>
          <w:rFonts w:ascii="Tahoma" w:hAnsi="Tahoma" w:cs="Tahoma"/>
          <w:sz w:val="22"/>
          <w:szCs w:val="22"/>
        </w:rPr>
        <w:t>. Rys. nr 3 a – Plan sytuacyjny,</w:t>
      </w:r>
    </w:p>
    <w:p w:rsidR="002A0107"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5.3</w:t>
      </w:r>
      <w:r w:rsidR="002A0107" w:rsidRPr="00F07A53">
        <w:rPr>
          <w:rFonts w:ascii="Tahoma" w:hAnsi="Tahoma" w:cs="Tahoma"/>
          <w:sz w:val="22"/>
          <w:szCs w:val="22"/>
        </w:rPr>
        <w:t>. Rys.  nr 4 – Przekrój A-A,</w:t>
      </w:r>
    </w:p>
    <w:p w:rsidR="002A0107" w:rsidRP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2D7AAB" w:rsidRPr="00F07A53">
        <w:rPr>
          <w:rFonts w:ascii="Tahoma" w:hAnsi="Tahoma" w:cs="Tahoma"/>
          <w:sz w:val="22"/>
          <w:szCs w:val="22"/>
        </w:rPr>
        <w:t>5.4.</w:t>
      </w:r>
      <w:r w:rsidR="002A0107" w:rsidRPr="00F07A53">
        <w:rPr>
          <w:rFonts w:ascii="Tahoma" w:hAnsi="Tahoma" w:cs="Tahoma"/>
          <w:sz w:val="22"/>
          <w:szCs w:val="22"/>
        </w:rPr>
        <w:t xml:space="preserve"> Rys. nr 5 – Przekrój B-B</w:t>
      </w:r>
    </w:p>
    <w:p w:rsidR="00F07A53" w:rsidRDefault="004D2599" w:rsidP="00F07A53">
      <w:pPr>
        <w:pStyle w:val="Bezodstpw"/>
        <w:spacing w:line="276" w:lineRule="auto"/>
        <w:jc w:val="both"/>
        <w:rPr>
          <w:rFonts w:ascii="Tahoma" w:hAnsi="Tahoma" w:cs="Tahoma"/>
          <w:sz w:val="22"/>
          <w:szCs w:val="22"/>
        </w:rPr>
      </w:pPr>
      <w:r>
        <w:rPr>
          <w:rFonts w:ascii="Tahoma" w:hAnsi="Tahoma" w:cs="Tahoma"/>
          <w:sz w:val="22"/>
          <w:szCs w:val="22"/>
        </w:rPr>
        <w:t>E.</w:t>
      </w:r>
      <w:r w:rsidR="00F07A53" w:rsidRPr="00F07A53">
        <w:rPr>
          <w:rFonts w:ascii="Tahoma" w:hAnsi="Tahoma" w:cs="Tahoma"/>
          <w:sz w:val="22"/>
          <w:szCs w:val="22"/>
        </w:rPr>
        <w:t>6. Decyzja o środowiskowych uwarunkowaniach</w:t>
      </w:r>
    </w:p>
    <w:p w:rsidR="009B4D66" w:rsidRDefault="009B4D66" w:rsidP="00F07A53">
      <w:pPr>
        <w:pStyle w:val="Bezodstpw"/>
        <w:spacing w:line="276" w:lineRule="auto"/>
        <w:jc w:val="both"/>
        <w:rPr>
          <w:rFonts w:ascii="Tahoma" w:hAnsi="Tahoma" w:cs="Tahoma"/>
          <w:sz w:val="22"/>
          <w:szCs w:val="22"/>
        </w:rPr>
      </w:pPr>
      <w:bookmarkStart w:id="0" w:name="_GoBack"/>
      <w:r>
        <w:rPr>
          <w:rFonts w:ascii="Tahoma" w:hAnsi="Tahoma" w:cs="Tahoma"/>
          <w:sz w:val="22"/>
          <w:szCs w:val="22"/>
        </w:rPr>
        <w:t>E.7. Decyzja zwalniająca od zakazów</w:t>
      </w:r>
    </w:p>
    <w:p w:rsidR="009B4D66" w:rsidRDefault="009B4D66" w:rsidP="00F07A53">
      <w:pPr>
        <w:pStyle w:val="Bezodstpw"/>
        <w:spacing w:line="276" w:lineRule="auto"/>
        <w:jc w:val="both"/>
        <w:rPr>
          <w:rFonts w:ascii="Tahoma" w:hAnsi="Tahoma" w:cs="Tahoma"/>
          <w:sz w:val="22"/>
          <w:szCs w:val="22"/>
        </w:rPr>
      </w:pPr>
      <w:r>
        <w:rPr>
          <w:rFonts w:ascii="Tahoma" w:hAnsi="Tahoma" w:cs="Tahoma"/>
          <w:sz w:val="22"/>
          <w:szCs w:val="22"/>
        </w:rPr>
        <w:t>E.8. Decyzja o ustaleniu celu publicznego</w:t>
      </w:r>
    </w:p>
    <w:p w:rsidR="009B4D66" w:rsidRDefault="009B4D66" w:rsidP="00F07A53">
      <w:pPr>
        <w:pStyle w:val="Bezodstpw"/>
        <w:spacing w:line="276" w:lineRule="auto"/>
        <w:jc w:val="both"/>
        <w:rPr>
          <w:rFonts w:ascii="Tahoma" w:hAnsi="Tahoma" w:cs="Tahoma"/>
          <w:sz w:val="22"/>
          <w:szCs w:val="22"/>
        </w:rPr>
      </w:pPr>
      <w:r>
        <w:rPr>
          <w:rFonts w:ascii="Tahoma" w:hAnsi="Tahoma" w:cs="Tahoma"/>
          <w:sz w:val="22"/>
          <w:szCs w:val="22"/>
        </w:rPr>
        <w:t>E.9. Koncepcja architektoniczna</w:t>
      </w:r>
    </w:p>
    <w:p w:rsidR="009B4D66" w:rsidRDefault="009B4D66" w:rsidP="00F07A53">
      <w:pPr>
        <w:pStyle w:val="Bezodstpw"/>
        <w:spacing w:line="276" w:lineRule="auto"/>
        <w:jc w:val="both"/>
        <w:rPr>
          <w:rFonts w:ascii="Tahoma" w:hAnsi="Tahoma" w:cs="Tahoma"/>
          <w:sz w:val="22"/>
          <w:szCs w:val="22"/>
        </w:rPr>
      </w:pPr>
      <w:r>
        <w:rPr>
          <w:rFonts w:ascii="Tahoma" w:hAnsi="Tahoma" w:cs="Tahoma"/>
          <w:sz w:val="22"/>
          <w:szCs w:val="22"/>
        </w:rPr>
        <w:t xml:space="preserve">E.9.1. Plan sytuacyjny </w:t>
      </w:r>
    </w:p>
    <w:p w:rsidR="009B4D66" w:rsidRDefault="009B4D66" w:rsidP="00F07A53">
      <w:pPr>
        <w:pStyle w:val="Bezodstpw"/>
        <w:spacing w:line="276" w:lineRule="auto"/>
        <w:jc w:val="both"/>
        <w:rPr>
          <w:rFonts w:ascii="Tahoma" w:hAnsi="Tahoma" w:cs="Tahoma"/>
          <w:sz w:val="22"/>
          <w:szCs w:val="22"/>
        </w:rPr>
      </w:pPr>
      <w:r>
        <w:rPr>
          <w:rFonts w:ascii="Tahoma" w:hAnsi="Tahoma" w:cs="Tahoma"/>
          <w:sz w:val="22"/>
          <w:szCs w:val="22"/>
        </w:rPr>
        <w:t>E.9.2. Plan funkcjonalno-użytkowy</w:t>
      </w:r>
    </w:p>
    <w:p w:rsidR="009B4D66" w:rsidRDefault="009B4D66" w:rsidP="00F07A53">
      <w:pPr>
        <w:pStyle w:val="Bezodstpw"/>
        <w:spacing w:line="276" w:lineRule="auto"/>
        <w:jc w:val="both"/>
        <w:rPr>
          <w:rFonts w:ascii="Tahoma" w:hAnsi="Tahoma" w:cs="Tahoma"/>
          <w:sz w:val="22"/>
          <w:szCs w:val="22"/>
        </w:rPr>
      </w:pPr>
      <w:r>
        <w:rPr>
          <w:rFonts w:ascii="Tahoma" w:hAnsi="Tahoma" w:cs="Tahoma"/>
          <w:sz w:val="22"/>
          <w:szCs w:val="22"/>
        </w:rPr>
        <w:t>E.9.3. Wizualizacja 1</w:t>
      </w:r>
    </w:p>
    <w:p w:rsidR="009B4D66" w:rsidRDefault="009B4D66" w:rsidP="00F07A53">
      <w:pPr>
        <w:pStyle w:val="Bezodstpw"/>
        <w:spacing w:line="276" w:lineRule="auto"/>
        <w:jc w:val="both"/>
        <w:rPr>
          <w:rFonts w:ascii="Tahoma" w:hAnsi="Tahoma" w:cs="Tahoma"/>
          <w:sz w:val="22"/>
          <w:szCs w:val="22"/>
        </w:rPr>
      </w:pPr>
      <w:r>
        <w:rPr>
          <w:rFonts w:ascii="Tahoma" w:hAnsi="Tahoma" w:cs="Tahoma"/>
          <w:sz w:val="22"/>
          <w:szCs w:val="22"/>
        </w:rPr>
        <w:t>E.9.4. Wizualizacja 2</w:t>
      </w:r>
    </w:p>
    <w:bookmarkEnd w:id="0"/>
    <w:p w:rsidR="009B4D66" w:rsidRPr="00F07A53" w:rsidRDefault="009B4D66" w:rsidP="00F07A53">
      <w:pPr>
        <w:pStyle w:val="Bezodstpw"/>
        <w:spacing w:line="276" w:lineRule="auto"/>
        <w:jc w:val="both"/>
        <w:rPr>
          <w:rFonts w:ascii="Tahoma" w:hAnsi="Tahoma" w:cs="Tahoma"/>
          <w:sz w:val="22"/>
          <w:szCs w:val="22"/>
        </w:rPr>
      </w:pPr>
    </w:p>
    <w:p w:rsidR="002A0107" w:rsidRPr="00F07A53" w:rsidRDefault="002A0107" w:rsidP="00F07A53">
      <w:pPr>
        <w:pStyle w:val="Bezodstpw"/>
        <w:rPr>
          <w:rFonts w:ascii="Tahoma" w:hAnsi="Tahoma" w:cs="Tahoma"/>
          <w:sz w:val="22"/>
        </w:rPr>
      </w:pPr>
    </w:p>
    <w:p w:rsidR="00560107" w:rsidRDefault="00560107"/>
    <w:sectPr w:rsidR="00560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0869"/>
    <w:multiLevelType w:val="hybridMultilevel"/>
    <w:tmpl w:val="9D764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525683A"/>
    <w:multiLevelType w:val="hybridMultilevel"/>
    <w:tmpl w:val="35D0C9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9DD7895"/>
    <w:multiLevelType w:val="hybridMultilevel"/>
    <w:tmpl w:val="34D2D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11"/>
    <w:rsid w:val="002866D9"/>
    <w:rsid w:val="002A0107"/>
    <w:rsid w:val="002D6711"/>
    <w:rsid w:val="002D7AAB"/>
    <w:rsid w:val="004D2599"/>
    <w:rsid w:val="00560107"/>
    <w:rsid w:val="009B4D66"/>
    <w:rsid w:val="00F07A53"/>
    <w:rsid w:val="00FB2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4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24C9"/>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2A0107"/>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4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24C9"/>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2A010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1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1277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12</cp:revision>
  <dcterms:created xsi:type="dcterms:W3CDTF">2018-01-17T16:38:00Z</dcterms:created>
  <dcterms:modified xsi:type="dcterms:W3CDTF">2018-01-24T17:14:00Z</dcterms:modified>
</cp:coreProperties>
</file>